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8CDB" w14:textId="77777777" w:rsidR="006F3259" w:rsidRPr="006F3259" w:rsidRDefault="006F3259" w:rsidP="006F325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КАМЕНСКИЙ ФИЛИАЛ</w:t>
      </w:r>
    </w:p>
    <w:p w14:paraId="6952AC2F" w14:textId="77777777" w:rsidR="006F3259" w:rsidRPr="006F3259" w:rsidRDefault="006F3259" w:rsidP="006F325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 ВО «РОССИЙСКИЙ НОВЫЙ УНИВЕРСИТЕТ»</w:t>
      </w:r>
    </w:p>
    <w:p w14:paraId="23A48661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40203" w14:textId="77777777" w:rsidR="006F3259" w:rsidRPr="006F3259" w:rsidRDefault="006F3259" w:rsidP="006F3259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Кафедра «Экономики и менеджмента»</w:t>
      </w:r>
    </w:p>
    <w:p w14:paraId="6F8E37EE" w14:textId="77777777" w:rsidR="006F3259" w:rsidRPr="006F3259" w:rsidRDefault="006F3259" w:rsidP="006F3259">
      <w:pPr>
        <w:autoSpaceDE w:val="0"/>
        <w:autoSpaceDN w:val="0"/>
        <w:adjustRightInd w:val="0"/>
        <w:spacing w:before="91" w:after="0" w:line="552" w:lineRule="exact"/>
        <w:ind w:left="2419" w:right="2726" w:hanging="1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Pr="006F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38.03.01 «Экономика»</w:t>
      </w:r>
    </w:p>
    <w:p w14:paraId="3E0495A1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ED182E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57C9F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AA66B" w14:textId="77777777" w:rsidR="006F3259" w:rsidRPr="006F3259" w:rsidRDefault="006F3259" w:rsidP="006F3259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14:paraId="13DF3BBA" w14:textId="77777777" w:rsidR="006F3259" w:rsidRPr="006F3259" w:rsidRDefault="006F3259" w:rsidP="006F3259">
      <w:pPr>
        <w:autoSpaceDE w:val="0"/>
        <w:autoSpaceDN w:val="0"/>
        <w:adjustRightInd w:val="0"/>
        <w:spacing w:before="158" w:after="0" w:line="4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прохождении производственной практики: по получению профессиональных умений и опыта профессиональной деятельности) </w:t>
      </w:r>
    </w:p>
    <w:p w14:paraId="760314C6" w14:textId="77777777" w:rsidR="006F3259" w:rsidRPr="006F3259" w:rsidRDefault="006F3259" w:rsidP="006F3259">
      <w:pPr>
        <w:autoSpaceDE w:val="0"/>
        <w:autoSpaceDN w:val="0"/>
        <w:adjustRightInd w:val="0"/>
        <w:spacing w:before="158" w:after="0" w:line="4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ООО «</w:t>
      </w:r>
      <w:r w:rsidRPr="006F3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FRACTALS</w:t>
      </w:r>
      <w:r w:rsidRPr="006F32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F40F7B2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6B6CF7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FF899" w14:textId="77777777" w:rsidR="006F3259" w:rsidRPr="006F3259" w:rsidRDefault="006F3259" w:rsidP="006F3259">
      <w:pPr>
        <w:tabs>
          <w:tab w:val="left" w:pos="142"/>
          <w:tab w:val="left" w:leader="underscore" w:pos="1714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31009E" w14:textId="77777777" w:rsidR="006F3259" w:rsidRPr="006F3259" w:rsidRDefault="006F3259" w:rsidP="006F3259">
      <w:pPr>
        <w:tabs>
          <w:tab w:val="left" w:pos="142"/>
          <w:tab w:val="left" w:leader="underscore" w:pos="1714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5F16AC3" w14:textId="5EDD138B" w:rsidR="006F3259" w:rsidRPr="006F3259" w:rsidRDefault="006F3259" w:rsidP="006F3259">
      <w:pPr>
        <w:tabs>
          <w:tab w:val="left" w:pos="142"/>
          <w:tab w:val="left" w:leader="underscore" w:pos="1714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Студента (</w:t>
      </w:r>
      <w:proofErr w:type="spellStart"/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</w:t>
      </w:r>
      <w:proofErr w:type="spellEnd"/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445E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B3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45E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курса</w:t>
      </w:r>
    </w:p>
    <w:p w14:paraId="7999B1F9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Каменского филиала </w:t>
      </w:r>
    </w:p>
    <w:p w14:paraId="184D9652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АНО ВО «</w:t>
      </w:r>
      <w:proofErr w:type="spellStart"/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Рос»НОУ</w:t>
      </w:r>
      <w:proofErr w:type="spellEnd"/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14:paraId="738C7AD0" w14:textId="1211E3F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заочной формы обучения</w:t>
      </w:r>
    </w:p>
    <w:p w14:paraId="6F507226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</w:t>
      </w:r>
    </w:p>
    <w:p w14:paraId="7C380DEB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5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Имя Отчество (полностью)</w:t>
      </w:r>
    </w:p>
    <w:p w14:paraId="0D7AE2CA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B20F2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Направление: «Экономика» </w:t>
      </w:r>
    </w:p>
    <w:p w14:paraId="490BBB48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Профиль: «Финансы и кредит»</w:t>
      </w:r>
    </w:p>
    <w:p w14:paraId="621C8B0D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F6004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361AD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Руководитель практики от кафедры _______________________________</w:t>
      </w:r>
    </w:p>
    <w:p w14:paraId="52271D29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</w:p>
    <w:p w14:paraId="41969CB7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A06E4C2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Руководитель практики от организации </w:t>
      </w:r>
    </w:p>
    <w:p w14:paraId="0582BCDF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2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</w:t>
      </w:r>
    </w:p>
    <w:p w14:paraId="03947B0D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</w:p>
    <w:p w14:paraId="72415280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6DBDB" w14:textId="77777777" w:rsidR="006F3259" w:rsidRPr="006F3259" w:rsidRDefault="006F3259" w:rsidP="006F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D3500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57360A" w14:textId="418C623C" w:rsid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15D7B" w14:textId="668C0EAC" w:rsidR="007D52C7" w:rsidRDefault="007D52C7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1BD845" w14:textId="1544853E" w:rsidR="007D52C7" w:rsidRDefault="007D52C7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B85B84" w14:textId="3B9B8F13" w:rsidR="007D52C7" w:rsidRDefault="007D52C7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CCA79D" w14:textId="1B4723EE" w:rsidR="007D52C7" w:rsidRDefault="007D52C7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A1889" w14:textId="77777777" w:rsidR="007D52C7" w:rsidRPr="006F3259" w:rsidRDefault="007D52C7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0ECD5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A80FE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37368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F1C2C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D89116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42CF4F" w14:textId="77777777" w:rsidR="006F3259" w:rsidRPr="006F3259" w:rsidRDefault="006F3259" w:rsidP="006F3259">
      <w:pPr>
        <w:autoSpaceDE w:val="0"/>
        <w:autoSpaceDN w:val="0"/>
        <w:adjustRightInd w:val="0"/>
        <w:spacing w:after="0" w:line="240" w:lineRule="exact"/>
        <w:ind w:left="39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7ED20" w14:textId="2A649ED7" w:rsidR="006F3259" w:rsidRPr="006F3259" w:rsidRDefault="006F3259" w:rsidP="006F3259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F325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C7F48">
        <w:rPr>
          <w:rFonts w:ascii="Times New Roman" w:eastAsia="Times New Roman" w:hAnsi="Times New Roman" w:cs="Times New Roman"/>
          <w:b/>
          <w:bCs/>
          <w:lang w:eastAsia="ru-RU"/>
        </w:rPr>
        <w:t>3</w:t>
      </w:r>
    </w:p>
    <w:p w14:paraId="19047FA7" w14:textId="05ED876B" w:rsidR="00FE2E7C" w:rsidRDefault="00FE2E7C" w:rsidP="006F3259">
      <w:pPr>
        <w:jc w:val="both"/>
      </w:pPr>
    </w:p>
    <w:p w14:paraId="0470C0AF" w14:textId="749C9E83" w:rsidR="00540FCE" w:rsidRDefault="00540FCE" w:rsidP="006F3259">
      <w:pPr>
        <w:jc w:val="both"/>
      </w:pPr>
    </w:p>
    <w:p w14:paraId="6EFA7596" w14:textId="77777777" w:rsidR="00540FCE" w:rsidRPr="00540FCE" w:rsidRDefault="00540FCE" w:rsidP="00540FCE">
      <w:pPr>
        <w:spacing w:before="7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0F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оформлению отчета по практике.</w:t>
      </w:r>
    </w:p>
    <w:p w14:paraId="197DED89" w14:textId="77777777" w:rsidR="00540FCE" w:rsidRPr="00540FCE" w:rsidRDefault="00540FCE" w:rsidP="00540FCE">
      <w:pPr>
        <w:spacing w:before="7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12054F" w14:textId="77777777" w:rsidR="00BC49D2" w:rsidRPr="00BC49D2" w:rsidRDefault="00BC49D2" w:rsidP="00BC49D2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 о прохождении практики оформляется по единым требованиям Института экономики, управления и финансов. </w:t>
      </w:r>
    </w:p>
    <w:p w14:paraId="0A62976C" w14:textId="028E23AE" w:rsidR="00BC49D2" w:rsidRPr="00BC49D2" w:rsidRDefault="00BC49D2" w:rsidP="00BC49D2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 печатается шрифтом п. 14, Times New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Roman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через полтора интервала. Размеры полей страниц: верхнее – 2,5 см, нижнее – 2 см, левое – 3 см, правое – 1,5 см. </w:t>
      </w:r>
      <w:r w:rsidR="008C7287" w:rsidRPr="008C72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отчета </w:t>
      </w:r>
      <w:r w:rsidR="008C72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="008C7287" w:rsidRPr="008C72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</w:t>
      </w:r>
      <w:r w:rsidR="008C72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0-20</w:t>
      </w:r>
      <w:r w:rsidR="008C7287" w:rsidRPr="008C72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страниц печатного текста</w:t>
      </w:r>
      <w:r w:rsidR="008C72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8C7287" w:rsidRPr="008C72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 отчета помещают после титульного листа. Слово «Содержание» записывают в виде заголовка, выровненного по центру строки строчными буквами (кроме первой прописной) полужирным шрифтом. В содержании работы указывается перечень всех разделов отчета, а также номера страниц, с которых они начинаются. </w:t>
      </w:r>
    </w:p>
    <w:p w14:paraId="0357B71F" w14:textId="77777777" w:rsidR="00BC49D2" w:rsidRPr="00BC49D2" w:rsidRDefault="00BC49D2" w:rsidP="00BC49D2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Разделы отчета должны иметь в пределах всей работы порядковые номера, обозначенные арабскими цифрами. Наименование раздела пишется строчными буквами (кроме первой прописной) полужирным шрифтом  с выравниванием по центру страницы. После номера раздела ставится точка. Например, раздел можно озаглавить: </w:t>
      </w:r>
    </w:p>
    <w:p w14:paraId="5718CC2B" w14:textId="77777777" w:rsidR="00BC49D2" w:rsidRPr="00BC49D2" w:rsidRDefault="00BC49D2" w:rsidP="00BC49D2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Нормативно-правовые основы социальной политики</w:t>
      </w:r>
    </w:p>
    <w:p w14:paraId="6D5D7864" w14:textId="77777777" w:rsidR="00BC49D2" w:rsidRPr="00BC49D2" w:rsidRDefault="00BC49D2" w:rsidP="00BC49D2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 «Содержание», «Введение», «Заключение», «Список использованных источников» следует писать без точки в конце строчными буквами полужирным шрифтом в виде заголовков с выравниванием по центру страницы. В заголовках не допускается перенос слов и не используется подчеркивание.  Нумерация таблиц и рисунков сквозная, образцы оформления таблиц, рисунков и списка использованных источников см. в Приложении файл «Отчет».</w:t>
      </w:r>
    </w:p>
    <w:p w14:paraId="35E08E50" w14:textId="77777777" w:rsidR="00BC49D2" w:rsidRPr="00BC49D2" w:rsidRDefault="00BC49D2" w:rsidP="00BC49D2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отчет не должны помещаться материалы, заимствованные из учебников, учебных пособий, а также не подлежащие опубликованию. В отчете студентом должны быть представлены схемы, отражающие производственную и организационную структуру организации, статистические данные о деятельности организации, проведен анализ той или иной конкретной проблемы, разработана программа и предложен инструментарий решения проблемы, сделаны заключения о возможности практического использования (внедрения) полученных результатов.</w:t>
      </w:r>
    </w:p>
    <w:p w14:paraId="595F620E" w14:textId="77777777" w:rsidR="008C7287" w:rsidRDefault="00540FCE" w:rsidP="00540FCE">
      <w:pPr>
        <w:keepNext/>
        <w:keepLines/>
        <w:tabs>
          <w:tab w:val="left" w:pos="3084"/>
          <w:tab w:val="center" w:pos="4676"/>
        </w:tabs>
        <w:spacing w:before="480"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ab/>
      </w:r>
    </w:p>
    <w:p w14:paraId="48ED50D2" w14:textId="77777777" w:rsidR="008C7287" w:rsidRDefault="008C7287" w:rsidP="00540FCE">
      <w:pPr>
        <w:keepNext/>
        <w:keepLines/>
        <w:tabs>
          <w:tab w:val="left" w:pos="3084"/>
          <w:tab w:val="center" w:pos="4676"/>
        </w:tabs>
        <w:spacing w:before="480"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77261CA" w14:textId="43F27E8A" w:rsidR="00540FCE" w:rsidRPr="00540FCE" w:rsidRDefault="00540FCE" w:rsidP="00540FCE">
      <w:pPr>
        <w:keepNext/>
        <w:keepLines/>
        <w:tabs>
          <w:tab w:val="left" w:pos="3084"/>
          <w:tab w:val="center" w:pos="4676"/>
        </w:tabs>
        <w:spacing w:before="480" w:after="0" w:line="360" w:lineRule="auto"/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14:paraId="21ABDB4E" w14:textId="2A0B61E8" w:rsidR="00C51F68" w:rsidRPr="00C51F68" w:rsidRDefault="00C51F68" w:rsidP="00C51F68">
      <w:pPr>
        <w:keepNext/>
        <w:keepLines/>
        <w:tabs>
          <w:tab w:val="left" w:pos="3108"/>
          <w:tab w:val="center" w:pos="4676"/>
        </w:tabs>
        <w:spacing w:before="480"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C51F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Содержание</w:t>
      </w:r>
    </w:p>
    <w:p w14:paraId="59090E29" w14:textId="77777777" w:rsidR="00C51F68" w:rsidRPr="00C51F68" w:rsidRDefault="00C51F68" w:rsidP="00C51F68">
      <w:pPr>
        <w:tabs>
          <w:tab w:val="right" w:leader="dot" w:pos="9345"/>
        </w:tabs>
        <w:spacing w:after="0" w:line="360" w:lineRule="auto"/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</w:pPr>
    </w:p>
    <w:p w14:paraId="4B711808" w14:textId="77777777" w:rsidR="00C51F68" w:rsidRPr="00C51F68" w:rsidRDefault="00C51F68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r w:rsidRPr="00C51F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fldChar w:fldCharType="begin"/>
      </w:r>
      <w:r w:rsidRPr="00C51F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instrText xml:space="preserve"> TOC \o "1-3" \h \z \u </w:instrText>
      </w:r>
      <w:r w:rsidRPr="00C51F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fldChar w:fldCharType="separate"/>
      </w:r>
      <w:hyperlink r:id="rId7" w:anchor="_Toc82551313" w:history="1">
        <w:r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Введение</w:t>
        </w:r>
        <w:r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_Toc82551313 \h </w:instrText>
        </w:r>
        <w:r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3</w:t>
        </w:r>
        <w:r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4CB3BC47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8" w:anchor="_Toc82551314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I. Организационно-подготовительный этап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_Toc82551314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5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64AD3AD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9" w:anchor="_Toc82551315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1.1. Общие положения (УКАЗЫВАЕТЕ НАЗВАНИЕ ВАШЕЙ ОРГАНИЗАЦИИ)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_Toc82551315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5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FA74C32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0" w:anchor="_Toc82551316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1.2.  Характеристика деятельности организации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_Toc82551316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5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7022E46A" w14:textId="77777777" w:rsidR="00C51F68" w:rsidRPr="00C51F68" w:rsidRDefault="0072636B" w:rsidP="00C51F68">
      <w:pPr>
        <w:tabs>
          <w:tab w:val="right" w:leader="dot" w:pos="9344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1" w:anchor="_Toc82551317" w:history="1">
        <w:r w:rsidR="00C51F68" w:rsidRPr="00C51F68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1.3. Организационная структура и аппарат управления деятельности организации</w:t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_Toc82551317 \h </w:instrText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05A1B6F0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2" w:anchor="_Toc82551318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1.4. Общие положения об Отделе (название отдела, где проходит практика)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_Toc82551318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5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7F3D58D" w14:textId="77777777" w:rsidR="00C51F68" w:rsidRPr="00C51F68" w:rsidRDefault="0072636B" w:rsidP="00C51F68">
      <w:pPr>
        <w:tabs>
          <w:tab w:val="left" w:pos="440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3" w:anchor="_Toc82551319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2.</w:t>
        </w:r>
        <w:r w:rsidR="00C51F68" w:rsidRPr="00C51F68">
          <w:rPr>
            <w:rFonts w:ascii="Calibri" w:eastAsia="Times New Roman" w:hAnsi="Calibri" w:cs="Times New Roman"/>
            <w:noProof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Производственный этап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_Toc82551319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6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50545D2F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4" w:anchor="_Toc82551320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2.1.   Результаты применения  в организации-месте практики форм налогового планирования, методик составления налоговых планов в соответствии с  концепцией налоговой политики государства (ПК-20–У1, ПК-20–У2, ПК-20–У3, ПК-20–У4, ПК-20–В1, ПК-20–В2, ПК-20–В3, ПК-20–В4)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_Toc82551320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6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4F87C18B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5" w:anchor="_Toc82551321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 xml:space="preserve">2.2. Результаты применения  инструментов налоговой политики в области стимулирования инвестиционной и инновационной деятельности по уровням </w:t>
        </w:r>
        <w:r w:rsidR="00C51F68" w:rsidRPr="00C51F68">
          <w:rPr>
            <w:rFonts w:ascii="Times New Roman" w:eastAsia="Calibri" w:hAnsi="Times New Roman" w:cs="Times New Roman"/>
            <w:noProof/>
            <w:spacing w:val="-2"/>
            <w:sz w:val="28"/>
            <w:szCs w:val="20"/>
            <w:u w:val="single"/>
            <w:lang w:eastAsia="ru-RU"/>
          </w:rPr>
          <w:t xml:space="preserve">бюджетной системы Российской Федерации, </w:t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правила установления налоговых преференций в области налоговых нагрузок в организации-месте практики (ПК-20-У-5, ПК-20-У-6, ПК-20-В-5, ПК-20-В-6)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_Toc82551321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6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618D9CC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6" w:anchor="_Toc82551322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</w:rPr>
          <w:t xml:space="preserve">2.3. </w:t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 xml:space="preserve">Результаты применения  видов и  методик составления финансовых планов </w:t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</w:rPr>
          <w:t>в организации-месте практики</w:t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 xml:space="preserve"> (ПК-21-У-1, ПК-21-У-2, ПК-21-В-1, ПК-21-В-2)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_Toc82551322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6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2683AF5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7" w:anchor="_Toc82551323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</w:rPr>
          <w:t xml:space="preserve">2.4. </w:t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Результаты взаимоотношений с органами государственной власти и с органами местного самоуправления в</w:t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</w:rPr>
          <w:t xml:space="preserve"> организации-месте практики</w:t>
        </w:r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 xml:space="preserve"> (ПК-21-У-3, ПК-21-У-4, ПК-21-У-5, ПК-21-У-6, ПК-21-В-3, ПК-21-В-4, ПК-21-В-5, ПК-21-В-6)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_Toc82551323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6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3AA864C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8" w:anchor="_Toc82551324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3.   Аналитический этап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_Toc82551324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7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0FEEDB6B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19" w:anchor="_Toc82551325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4. Отчетный этап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_Toc82551325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8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59644820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20" w:anchor="_Toc82551326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Заключение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_Toc82551326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9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772FCC90" w14:textId="77777777" w:rsidR="00C51F68" w:rsidRPr="00C51F68" w:rsidRDefault="0072636B" w:rsidP="00C51F68">
      <w:pPr>
        <w:tabs>
          <w:tab w:val="right" w:leader="dot" w:pos="9344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21" w:anchor="_Toc82551327" w:history="1">
        <w:r w:rsidR="00C51F68" w:rsidRPr="00C51F68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Список использованных источников</w:t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_Toc82551327 \h </w:instrText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10</w:t>
        </w:r>
        <w:r w:rsidR="00C51F68" w:rsidRPr="00C51F6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7FC7A173" w14:textId="77777777" w:rsidR="00C51F68" w:rsidRPr="00C51F68" w:rsidRDefault="0072636B" w:rsidP="00C51F68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r:id="rId22" w:anchor="_Toc82551329" w:history="1">
        <w:r w:rsidR="00C51F68" w:rsidRPr="00C51F68">
          <w:rPr>
            <w:rFonts w:ascii="Times New Roman" w:eastAsia="Calibri" w:hAnsi="Times New Roman" w:cs="Times New Roman"/>
            <w:noProof/>
            <w:sz w:val="28"/>
            <w:szCs w:val="20"/>
            <w:u w:val="single"/>
            <w:lang w:eastAsia="ru-RU"/>
          </w:rPr>
          <w:t>Приложения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ab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begin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instrText xml:space="preserve"> PAGEREF _Toc82551329 \h </w:instrTex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separate"/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t>11</w:t>
        </w:r>
        <w:r w:rsidR="00C51F68" w:rsidRPr="00C51F68">
          <w:rPr>
            <w:rFonts w:ascii="Times New Roman" w:eastAsia="Calibri" w:hAnsi="Times New Roman" w:cs="Times New Roman"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C8C5CA2" w14:textId="2889C3C5" w:rsidR="00BC49D2" w:rsidRPr="00BC49D2" w:rsidRDefault="00C51F68" w:rsidP="00C51F68">
      <w:pPr>
        <w:spacing w:line="256" w:lineRule="auto"/>
        <w:rPr>
          <w:rFonts w:ascii="Times New Roman" w:eastAsia="Calibri" w:hAnsi="Times New Roman" w:cs="Times New Roman"/>
        </w:rPr>
      </w:pPr>
      <w:r w:rsidRPr="00C51F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0701CEC3" w14:textId="77777777" w:rsidR="00BC49D2" w:rsidRPr="00BC49D2" w:rsidRDefault="00BC49D2" w:rsidP="00BC49D2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D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Цифровой материал, приводимый в практике, как правило, оформляют в виде таблиц. Название следует помещать под словом «Таблица» по центру над соответствующей таблицей. Заголовок должен начинаться с прописной буквы, в конце заголовков таблиц точка не ставится. Таблицы последовательно нумеруются арабскими цифрами в пределах всей практики.</w:t>
      </w:r>
    </w:p>
    <w:p w14:paraId="6B65C9CE" w14:textId="77777777" w:rsidR="00BC49D2" w:rsidRPr="00BC49D2" w:rsidRDefault="00BC49D2" w:rsidP="00BC49D2">
      <w:pPr>
        <w:shd w:val="clear" w:color="auto" w:fill="FFFFFF"/>
        <w:spacing w:line="256" w:lineRule="auto"/>
        <w:ind w:right="96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9D2">
        <w:rPr>
          <w:rFonts w:ascii="Times New Roman" w:eastAsia="Calibri" w:hAnsi="Times New Roman" w:cs="Times New Roman"/>
          <w:color w:val="000000"/>
          <w:sz w:val="28"/>
          <w:szCs w:val="28"/>
        </w:rPr>
        <w:t>Таблица 1</w:t>
      </w:r>
    </w:p>
    <w:p w14:paraId="3AFBE22A" w14:textId="77777777" w:rsidR="00BC49D2" w:rsidRPr="00BC49D2" w:rsidRDefault="00BC49D2" w:rsidP="00BC49D2">
      <w:pPr>
        <w:shd w:val="clear" w:color="auto" w:fill="FFFFFF"/>
        <w:spacing w:line="256" w:lineRule="auto"/>
        <w:ind w:right="9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9D2">
        <w:rPr>
          <w:rFonts w:ascii="Times New Roman" w:eastAsia="Calibri" w:hAnsi="Times New Roman" w:cs="Times New Roman"/>
          <w:color w:val="000000"/>
          <w:sz w:val="28"/>
          <w:szCs w:val="28"/>
        </w:rPr>
        <w:t>Название таблицы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4590"/>
      </w:tblGrid>
      <w:tr w:rsidR="00BC49D2" w:rsidRPr="00BC49D2" w14:paraId="3D977EA8" w14:textId="77777777" w:rsidTr="00BC49D2">
        <w:trPr>
          <w:trHeight w:val="240"/>
          <w:jc w:val="center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048AF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916334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кредитования</w:t>
            </w:r>
          </w:p>
        </w:tc>
      </w:tr>
      <w:tr w:rsidR="00BC49D2" w:rsidRPr="00BC49D2" w14:paraId="1B44CFA8" w14:textId="77777777" w:rsidTr="00BC49D2">
        <w:trPr>
          <w:trHeight w:val="240"/>
          <w:jc w:val="center"/>
        </w:trPr>
        <w:tc>
          <w:tcPr>
            <w:tcW w:w="4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2D8C8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клиентура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A3641F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Экспресс-кредитование</w:t>
            </w:r>
          </w:p>
        </w:tc>
      </w:tr>
      <w:tr w:rsidR="00BC49D2" w:rsidRPr="00BC49D2" w14:paraId="422941C8" w14:textId="77777777" w:rsidTr="00BC49D2">
        <w:trPr>
          <w:trHeight w:val="360"/>
          <w:jc w:val="center"/>
        </w:trPr>
        <w:tc>
          <w:tcPr>
            <w:tcW w:w="4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F2411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класс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777751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потребительского</w:t>
            </w: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кредитования</w:t>
            </w:r>
          </w:p>
        </w:tc>
      </w:tr>
      <w:tr w:rsidR="00BC49D2" w:rsidRPr="00BC49D2" w14:paraId="07D83EAF" w14:textId="77777777" w:rsidTr="00BC49D2">
        <w:trPr>
          <w:trHeight w:val="240"/>
          <w:jc w:val="center"/>
        </w:trPr>
        <w:tc>
          <w:tcPr>
            <w:tcW w:w="4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D69F3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сегмент среднего класса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667661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карты, автокредитование</w:t>
            </w:r>
          </w:p>
        </w:tc>
      </w:tr>
      <w:tr w:rsidR="00BC49D2" w:rsidRPr="00BC49D2" w14:paraId="1A301A81" w14:textId="77777777" w:rsidTr="00BC49D2">
        <w:trPr>
          <w:trHeight w:val="240"/>
          <w:jc w:val="center"/>
        </w:trPr>
        <w:tc>
          <w:tcPr>
            <w:tcW w:w="4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E97214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VIP-клиенты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D13" w14:textId="77777777" w:rsidR="00BC49D2" w:rsidRPr="00BC49D2" w:rsidRDefault="00BC49D2" w:rsidP="00BC49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2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карты</w:t>
            </w:r>
          </w:p>
        </w:tc>
      </w:tr>
    </w:tbl>
    <w:p w14:paraId="42759038" w14:textId="77777777" w:rsidR="00BC49D2" w:rsidRPr="00BC49D2" w:rsidRDefault="00BC49D2" w:rsidP="00BC49D2">
      <w:pPr>
        <w:shd w:val="clear" w:color="auto" w:fill="FFFFFF"/>
        <w:spacing w:line="360" w:lineRule="auto"/>
        <w:ind w:right="96" w:firstLine="708"/>
        <w:jc w:val="both"/>
        <w:rPr>
          <w:rFonts w:ascii="Calibri" w:eastAsia="Calibri" w:hAnsi="Calibri" w:cs="Times New Roman"/>
          <w:color w:val="000000"/>
        </w:rPr>
      </w:pPr>
    </w:p>
    <w:p w14:paraId="332A8784" w14:textId="77777777" w:rsidR="00BC49D2" w:rsidRPr="00BC49D2" w:rsidRDefault="00BC49D2" w:rsidP="00BC49D2">
      <w:pPr>
        <w:shd w:val="clear" w:color="auto" w:fill="FFFFFF"/>
        <w:spacing w:after="0" w:line="240" w:lineRule="auto"/>
        <w:ind w:right="9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9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Оформление иллюстраций</w:t>
      </w:r>
    </w:p>
    <w:p w14:paraId="019D9E43" w14:textId="77777777" w:rsidR="00BC49D2" w:rsidRPr="00BC49D2" w:rsidRDefault="00BC49D2" w:rsidP="00BC49D2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9D2">
        <w:rPr>
          <w:rFonts w:ascii="Times New Roman" w:eastAsia="Calibri" w:hAnsi="Times New Roman" w:cs="Times New Roman"/>
          <w:color w:val="000000"/>
          <w:sz w:val="28"/>
          <w:szCs w:val="28"/>
        </w:rPr>
        <w:t>Все иллюстрации (схемы, рисунки, графики) обозначаются словом «Рис.». Рисунки, как и таблицы, последовательно нумеруются по тексту всей практики арабскими цифрами и размещаются сразу после ссылки на них в тексте.</w:t>
      </w:r>
    </w:p>
    <w:p w14:paraId="16CD1283" w14:textId="77777777" w:rsidR="00BC49D2" w:rsidRPr="00BC49D2" w:rsidRDefault="00BC49D2" w:rsidP="00BC49D2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9D2">
        <w:rPr>
          <w:rFonts w:ascii="Times New Roman" w:eastAsia="Calibri" w:hAnsi="Times New Roman" w:cs="Times New Roman"/>
          <w:color w:val="000000"/>
          <w:sz w:val="28"/>
          <w:szCs w:val="28"/>
        </w:rPr>
        <w:t>Рисунки следует помещать таким образом, чтобы их можно было рассматривать без поворота или с поворотом работы по часовой стрелке. Заголовок помещается под рисунком в одну строку со словом «Рис.» и его номером.</w:t>
      </w:r>
    </w:p>
    <w:p w14:paraId="544BD879" w14:textId="77777777" w:rsidR="00BC49D2" w:rsidRPr="00BC49D2" w:rsidRDefault="00BC49D2" w:rsidP="00BC49D2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9D2">
        <w:rPr>
          <w:rFonts w:ascii="Times New Roman" w:eastAsia="Calibri" w:hAnsi="Times New Roman" w:cs="Times New Roman"/>
          <w:color w:val="000000"/>
          <w:sz w:val="28"/>
          <w:szCs w:val="28"/>
        </w:rPr>
        <w:t>Например:</w:t>
      </w:r>
    </w:p>
    <w:p w14:paraId="7CBC77BA" w14:textId="77777777" w:rsidR="00BC49D2" w:rsidRPr="00BC49D2" w:rsidRDefault="00BC49D2" w:rsidP="00BC49D2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4A13F4" w14:textId="77777777" w:rsidR="00BC49D2" w:rsidRPr="00BC49D2" w:rsidRDefault="00BC49D2" w:rsidP="00BC49D2">
      <w:pPr>
        <w:shd w:val="clear" w:color="auto" w:fill="FFFFFF"/>
        <w:spacing w:line="256" w:lineRule="auto"/>
        <w:ind w:right="96"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BC49D2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EF7ACB2" wp14:editId="3EA905F3">
            <wp:extent cx="5273040" cy="2004060"/>
            <wp:effectExtent l="0" t="0" r="3810" b="1524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EC5B5E" w14:textId="77777777" w:rsidR="00BC49D2" w:rsidRPr="00BC49D2" w:rsidRDefault="00BC49D2" w:rsidP="00BC49D2">
      <w:pPr>
        <w:shd w:val="clear" w:color="auto" w:fill="FFFFFF"/>
        <w:spacing w:line="256" w:lineRule="auto"/>
        <w:ind w:right="9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49D2">
        <w:rPr>
          <w:rFonts w:ascii="Times New Roman" w:eastAsia="Calibri" w:hAnsi="Times New Roman" w:cs="Times New Roman"/>
          <w:color w:val="000000"/>
          <w:sz w:val="28"/>
          <w:szCs w:val="28"/>
        </w:rPr>
        <w:t>Рис. 1. Название рисунка</w:t>
      </w:r>
    </w:p>
    <w:p w14:paraId="377A1C49" w14:textId="77777777" w:rsidR="00BC49D2" w:rsidRPr="00BC49D2" w:rsidRDefault="00BC49D2" w:rsidP="00BC49D2">
      <w:pPr>
        <w:spacing w:line="256" w:lineRule="auto"/>
        <w:rPr>
          <w:rFonts w:ascii="Times New Roman" w:eastAsia="Calibri" w:hAnsi="Times New Roman" w:cs="Times New Roman"/>
        </w:rPr>
      </w:pPr>
    </w:p>
    <w:p w14:paraId="629BEF04" w14:textId="77777777" w:rsidR="00BC49D2" w:rsidRPr="00BC49D2" w:rsidRDefault="00BC49D2" w:rsidP="00BC49D2">
      <w:pPr>
        <w:spacing w:line="256" w:lineRule="auto"/>
        <w:rPr>
          <w:rFonts w:ascii="Times New Roman" w:eastAsia="Calibri" w:hAnsi="Times New Roman" w:cs="Times New Roman"/>
        </w:rPr>
      </w:pPr>
    </w:p>
    <w:p w14:paraId="132D45C5" w14:textId="7E3DD772" w:rsidR="00BC49D2" w:rsidRDefault="00BC49D2" w:rsidP="00BC49D2">
      <w:pPr>
        <w:spacing w:line="256" w:lineRule="auto"/>
        <w:rPr>
          <w:rFonts w:ascii="Times New Roman" w:eastAsia="Calibri" w:hAnsi="Times New Roman" w:cs="Times New Roman"/>
        </w:rPr>
      </w:pPr>
    </w:p>
    <w:p w14:paraId="257F1D36" w14:textId="18907092" w:rsidR="00BC49D2" w:rsidRDefault="00BC49D2" w:rsidP="00BC49D2">
      <w:pPr>
        <w:spacing w:line="256" w:lineRule="auto"/>
        <w:rPr>
          <w:rFonts w:ascii="Times New Roman" w:eastAsia="Calibri" w:hAnsi="Times New Roman" w:cs="Times New Roman"/>
        </w:rPr>
      </w:pPr>
    </w:p>
    <w:p w14:paraId="364E3787" w14:textId="77777777" w:rsidR="00BC49D2" w:rsidRPr="00BC49D2" w:rsidRDefault="00BC49D2" w:rsidP="00BC49D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9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71B501A5" w14:textId="77777777" w:rsidR="00BC49D2" w:rsidRPr="00BC49D2" w:rsidRDefault="00BC49D2" w:rsidP="00BC49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Нормативно-правовые источники</w:t>
      </w:r>
    </w:p>
    <w:p w14:paraId="480CFB58" w14:textId="77777777" w:rsidR="00BC49D2" w:rsidRPr="00BC49D2" w:rsidRDefault="00BC49D2" w:rsidP="00BC49D2">
      <w:pPr>
        <w:numPr>
          <w:ilvl w:val="0"/>
          <w:numId w:val="5"/>
        </w:numPr>
        <w:tabs>
          <w:tab w:val="num" w:pos="-2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Конституция РФ, принята всенародным голосованием 12 декабря 1993 года // Российская газета. – 2017. – № 237.</w:t>
      </w:r>
    </w:p>
    <w:p w14:paraId="35134818" w14:textId="77777777" w:rsidR="00BC49D2" w:rsidRPr="00BC49D2" w:rsidRDefault="00BC49D2" w:rsidP="00BC49D2">
      <w:pPr>
        <w:numPr>
          <w:ilvl w:val="0"/>
          <w:numId w:val="5"/>
        </w:numPr>
        <w:tabs>
          <w:tab w:val="num" w:pos="-2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Российская Федерация. Законы. Семейный кодекс Российской Федерации: [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закон: принят Гос. Думой 8 дек. 1995 г.: по состоянию на 3 янв. 2005 г.]. – СПб.: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Victory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Стаун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-кантри, 2001.</w:t>
      </w:r>
    </w:p>
    <w:p w14:paraId="3FC1947D" w14:textId="77777777" w:rsidR="00BC49D2" w:rsidRPr="00BC49D2" w:rsidRDefault="00BC49D2" w:rsidP="00BC49D2">
      <w:pPr>
        <w:numPr>
          <w:ilvl w:val="0"/>
          <w:numId w:val="5"/>
        </w:numPr>
        <w:tabs>
          <w:tab w:val="num" w:pos="-2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Российская Федерация. Законы. «О науке и государственной научно-технической политике» [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закон принят 23 августа 1996 г. (с изм. и доп. от 19 июля, 17 декабря 1998 г., 3 января, 27, 29 декабря 2000 г., 30 декабря 2001 г., 24 декабря 2002 г., 23 декабря 2003 г.] / Информационно-справочная система «Гарант», версия от 07.02.04 г.</w:t>
      </w:r>
    </w:p>
    <w:p w14:paraId="006A5C1A" w14:textId="77777777" w:rsidR="00BC49D2" w:rsidRPr="00BC49D2" w:rsidRDefault="00BC49D2" w:rsidP="00BC49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Учебники, монографии, брошюры</w:t>
      </w:r>
    </w:p>
    <w:p w14:paraId="0B5BF903" w14:textId="77777777" w:rsidR="00BC49D2" w:rsidRPr="00BC49D2" w:rsidRDefault="00BC49D2" w:rsidP="00BC49D2">
      <w:pPr>
        <w:numPr>
          <w:ilvl w:val="0"/>
          <w:numId w:val="5"/>
        </w:numPr>
        <w:tabs>
          <w:tab w:val="num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Бахвалов, Н.С. Численные методы: Учеб. пособие. – 4-е изд. / Н.С. Бахвалов, Н.П. Жидков, Г.М. Кобельков; Под общ. ред. Н.И. Тихонова. – М.: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Физматлит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Лаб. базовых знаний; СПб.: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диалект, 2012.</w:t>
      </w:r>
    </w:p>
    <w:p w14:paraId="626C97F8" w14:textId="77777777" w:rsidR="00BC49D2" w:rsidRPr="00BC49D2" w:rsidRDefault="00BC49D2" w:rsidP="00BC49D2">
      <w:pPr>
        <w:numPr>
          <w:ilvl w:val="0"/>
          <w:numId w:val="5"/>
        </w:numPr>
        <w:tabs>
          <w:tab w:val="num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Семенов, В.В. Экономика: итог тысячелетий. Экономическая теория / В.В. Семенов. – Пущино: Рос. акад. наук, Науч. центр, Ин-т экономики, Акад. эконом развития, 2010.</w:t>
      </w:r>
    </w:p>
    <w:p w14:paraId="7B0EED0E" w14:textId="77777777" w:rsidR="00BC49D2" w:rsidRPr="00BC49D2" w:rsidRDefault="00BC49D2" w:rsidP="00BC49D2">
      <w:pPr>
        <w:numPr>
          <w:ilvl w:val="0"/>
          <w:numId w:val="5"/>
        </w:numPr>
        <w:tabs>
          <w:tab w:val="num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Финансы России: Учеб. пособие. – 4-е изд.,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перераб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и доп. / В.Н. Быков и др.; Отв. ред. В.Н. Сухов; При участии Т.А. Суховой. – СПб.: М-во образования РФ, С.-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Петерб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гос.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лесотехн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акад., 2011.</w:t>
      </w:r>
    </w:p>
    <w:p w14:paraId="06A92016" w14:textId="77777777" w:rsidR="00BC49D2" w:rsidRPr="00BC49D2" w:rsidRDefault="00BC49D2" w:rsidP="00BC49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Диссертации и авторефераты диссертаций</w:t>
      </w:r>
    </w:p>
    <w:p w14:paraId="214091FC" w14:textId="77777777" w:rsidR="00BC49D2" w:rsidRPr="00BC49D2" w:rsidRDefault="00BC49D2" w:rsidP="00BC49D2">
      <w:pPr>
        <w:numPr>
          <w:ilvl w:val="0"/>
          <w:numId w:val="5"/>
        </w:num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Вишняков И.В. Модели и методы оценки коммерческих банков в условиях неопределенности.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 канд. эконом. наук: 08.00.13. – М., 2011</w:t>
      </w:r>
    </w:p>
    <w:p w14:paraId="452D278B" w14:textId="77777777" w:rsidR="00BC49D2" w:rsidRPr="00BC49D2" w:rsidRDefault="00BC49D2" w:rsidP="00BC49D2">
      <w:pPr>
        <w:numPr>
          <w:ilvl w:val="0"/>
          <w:numId w:val="5"/>
        </w:num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Ткачев В.Н. Методы обоснования финансовых ресурсов при планировании развития космической промышленности в России: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 д-ра эконом. наук: 08.00.10. – М.: ВФЭФ, 2010.</w:t>
      </w:r>
    </w:p>
    <w:p w14:paraId="7052E5C5" w14:textId="77777777" w:rsidR="00BC49D2" w:rsidRPr="00BC49D2" w:rsidRDefault="00BC49D2" w:rsidP="00BC49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Периодические издания</w:t>
      </w:r>
    </w:p>
    <w:p w14:paraId="3745B472" w14:textId="77777777" w:rsidR="00BC49D2" w:rsidRPr="00BC49D2" w:rsidRDefault="00BC49D2" w:rsidP="00BC49D2">
      <w:pPr>
        <w:numPr>
          <w:ilvl w:val="0"/>
          <w:numId w:val="5"/>
        </w:numPr>
        <w:tabs>
          <w:tab w:val="num" w:pos="-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Горьков, Г. На пути к рыночному ценообразованию // Российский экономический журнал. – М.: Спутник +. – 2011. – № 1–3. – С. 3-10.</w:t>
      </w:r>
    </w:p>
    <w:p w14:paraId="08285940" w14:textId="77777777" w:rsidR="00BC49D2" w:rsidRPr="00BC49D2" w:rsidRDefault="00BC49D2" w:rsidP="00BC49D2">
      <w:pPr>
        <w:numPr>
          <w:ilvl w:val="0"/>
          <w:numId w:val="5"/>
        </w:numPr>
        <w:tabs>
          <w:tab w:val="num" w:pos="-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Российская Федерация. Гос. Дума (2000). Государственная Дума: </w:t>
      </w:r>
      <w:proofErr w:type="spellStart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стеногр</w:t>
      </w:r>
      <w:proofErr w:type="spellEnd"/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заседаний: Бюллетень. – М.: ГД РФ. – 2011. – № 49(497).</w:t>
      </w:r>
    </w:p>
    <w:p w14:paraId="0EF4ABF1" w14:textId="77777777" w:rsidR="00BC49D2" w:rsidRPr="00BC49D2" w:rsidRDefault="00BC49D2" w:rsidP="00BC49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Электронные ресурсы</w:t>
      </w:r>
    </w:p>
    <w:p w14:paraId="5B74FF29" w14:textId="77777777" w:rsidR="00BC49D2" w:rsidRPr="00BC49D2" w:rsidRDefault="00BC49D2" w:rsidP="00BC49D2">
      <w:pPr>
        <w:numPr>
          <w:ilvl w:val="0"/>
          <w:numId w:val="5"/>
        </w:num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Непомнящий А. Л. Финансовый анализ: теория и практика / А. Л. Непомнящий. Режим доступа: [</w:t>
      </w:r>
      <w:r w:rsidRPr="00BC49D2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http</w:t>
      </w:r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// </w:t>
      </w:r>
      <w:hyperlink r:id="rId24" w:history="1">
        <w:r w:rsidRPr="00BC49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www</w:t>
        </w:r>
        <w:r w:rsidRPr="00BC49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r w:rsidRPr="00BC49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psychoanalysis</w:t>
        </w:r>
        <w:r w:rsidRPr="00BC49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r w:rsidRPr="00BC49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pl</w:t>
        </w:r>
        <w:r w:rsidRPr="00BC49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BC49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Pr="00BC4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17/05/2011].</w:t>
      </w:r>
    </w:p>
    <w:p w14:paraId="326DB418" w14:textId="77777777" w:rsidR="00BC49D2" w:rsidRPr="00BC49D2" w:rsidRDefault="00BC49D2" w:rsidP="00642CD5">
      <w:pPr>
        <w:numPr>
          <w:ilvl w:val="0"/>
          <w:numId w:val="5"/>
        </w:num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C7F48">
        <w:rPr>
          <w:rFonts w:ascii="Times New Roman" w:eastAsia="Calibri" w:hAnsi="Times New Roman" w:cs="Times New Roman"/>
          <w:sz w:val="28"/>
          <w:szCs w:val="28"/>
          <w:lang w:val="en-US"/>
        </w:rPr>
        <w:t>Statsoft</w:t>
      </w:r>
      <w:proofErr w:type="spellEnd"/>
      <w:r w:rsidRPr="00EC7F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7F48">
        <w:rPr>
          <w:rFonts w:ascii="Times New Roman" w:eastAsia="Calibri" w:hAnsi="Times New Roman" w:cs="Times New Roman"/>
          <w:sz w:val="28"/>
          <w:szCs w:val="28"/>
          <w:lang w:val="en-US"/>
        </w:rPr>
        <w:t>Ins</w:t>
      </w:r>
      <w:r w:rsidRPr="00EC7F48">
        <w:rPr>
          <w:rFonts w:ascii="Times New Roman" w:eastAsia="Calibri" w:hAnsi="Times New Roman" w:cs="Times New Roman"/>
          <w:sz w:val="28"/>
          <w:szCs w:val="28"/>
        </w:rPr>
        <w:t>. (2011). Электронный учебник по статистике. Москва</w:t>
      </w:r>
      <w:r w:rsidRPr="00EC7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7F48">
        <w:rPr>
          <w:rFonts w:ascii="Times New Roman" w:eastAsia="Calibri" w:hAnsi="Times New Roman" w:cs="Times New Roman"/>
          <w:sz w:val="28"/>
          <w:szCs w:val="28"/>
          <w:lang w:val="en-US"/>
        </w:rPr>
        <w:t>Statsoft</w:t>
      </w:r>
      <w:proofErr w:type="spellEnd"/>
      <w:r w:rsidRPr="00EC7F48">
        <w:rPr>
          <w:rFonts w:ascii="Times New Roman" w:eastAsia="Calibri" w:hAnsi="Times New Roman" w:cs="Times New Roman"/>
          <w:sz w:val="28"/>
          <w:szCs w:val="28"/>
          <w:lang w:val="en-US"/>
        </w:rPr>
        <w:t>. Web: http//www.statsoft.ru/home/textbook.</w:t>
      </w:r>
    </w:p>
    <w:sectPr w:rsidR="00BC49D2" w:rsidRPr="00BC49D2" w:rsidSect="006F3259">
      <w:headerReference w:type="even" r:id="rId25"/>
      <w:headerReference w:type="default" r:id="rId26"/>
      <w:footerReference w:type="even" r:id="rId27"/>
      <w:footerReference w:type="default" r:id="rId28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68E6" w14:textId="77777777" w:rsidR="0072636B" w:rsidRDefault="0072636B">
      <w:pPr>
        <w:spacing w:after="0" w:line="240" w:lineRule="auto"/>
      </w:pPr>
      <w:r>
        <w:separator/>
      </w:r>
    </w:p>
  </w:endnote>
  <w:endnote w:type="continuationSeparator" w:id="0">
    <w:p w14:paraId="3C916689" w14:textId="77777777" w:rsidR="0072636B" w:rsidRDefault="0072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0845" w14:textId="77777777" w:rsidR="005C5A5B" w:rsidRDefault="002D33CF">
    <w:pPr>
      <w:pStyle w:val="Style14"/>
      <w:widowControl/>
      <w:ind w:left="-130" w:right="-130"/>
      <w:jc w:val="right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24</w:t>
    </w:r>
    <w:r>
      <w:rPr>
        <w:rStyle w:val="FontStyle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B375" w14:textId="77777777" w:rsidR="005C5A5B" w:rsidRDefault="002D33CF">
    <w:pPr>
      <w:pStyle w:val="Style14"/>
      <w:widowControl/>
      <w:jc w:val="right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23</w:t>
    </w:r>
    <w:r>
      <w:rPr>
        <w:rStyle w:val="FontStyle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4917" w14:textId="77777777" w:rsidR="0072636B" w:rsidRDefault="0072636B">
      <w:pPr>
        <w:spacing w:after="0" w:line="240" w:lineRule="auto"/>
      </w:pPr>
      <w:r>
        <w:separator/>
      </w:r>
    </w:p>
  </w:footnote>
  <w:footnote w:type="continuationSeparator" w:id="0">
    <w:p w14:paraId="1AE7CDF7" w14:textId="77777777" w:rsidR="0072636B" w:rsidRDefault="0072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E641" w14:textId="77777777" w:rsidR="005C5A5B" w:rsidRDefault="007263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56FD" w14:textId="77777777" w:rsidR="005C5A5B" w:rsidRPr="00B154B7" w:rsidRDefault="0072636B" w:rsidP="00B154B7">
    <w:pPr>
      <w:pStyle w:val="a3"/>
      <w:rPr>
        <w:rStyle w:val="FontStyle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2297"/>
    <w:multiLevelType w:val="hybridMultilevel"/>
    <w:tmpl w:val="315A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2E46"/>
    <w:multiLevelType w:val="singleLevel"/>
    <w:tmpl w:val="ECC62C2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05166D"/>
    <w:multiLevelType w:val="singleLevel"/>
    <w:tmpl w:val="ECEEF3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A9A489D"/>
    <w:multiLevelType w:val="hybridMultilevel"/>
    <w:tmpl w:val="E6C8188E"/>
    <w:lvl w:ilvl="0" w:tplc="BB1E2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DFA332A"/>
    <w:multiLevelType w:val="hybridMultilevel"/>
    <w:tmpl w:val="0434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1C"/>
    <w:rsid w:val="000E3FF7"/>
    <w:rsid w:val="001B3113"/>
    <w:rsid w:val="002D33CF"/>
    <w:rsid w:val="003F7C83"/>
    <w:rsid w:val="00445E8B"/>
    <w:rsid w:val="004B73E2"/>
    <w:rsid w:val="00540FCE"/>
    <w:rsid w:val="006736A6"/>
    <w:rsid w:val="006F3259"/>
    <w:rsid w:val="0072636B"/>
    <w:rsid w:val="007B0F9E"/>
    <w:rsid w:val="007D52C7"/>
    <w:rsid w:val="008B20E6"/>
    <w:rsid w:val="008C7287"/>
    <w:rsid w:val="00A14D1C"/>
    <w:rsid w:val="00BC49D2"/>
    <w:rsid w:val="00C51F68"/>
    <w:rsid w:val="00D1259F"/>
    <w:rsid w:val="00D348FA"/>
    <w:rsid w:val="00EC7F48"/>
    <w:rsid w:val="00FE2E7C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0B84"/>
  <w15:chartTrackingRefBased/>
  <w15:docId w15:val="{66678548-C81A-4264-B091-FE1AD284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6F3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6F325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sid w:val="006F3259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F32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F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0FCE"/>
    <w:pPr>
      <w:widowControl w:val="0"/>
      <w:autoSpaceDE w:val="0"/>
      <w:autoSpaceDN w:val="0"/>
      <w:adjustRightInd w:val="0"/>
      <w:spacing w:after="0" w:line="5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40FCE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0FCE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40F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540FCE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540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1F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90;&#1086;&#1076;\Downloads\&#1054;&#1090;&#1095;&#1077;&#1090;.doc" TargetMode="External"/><Relationship Id="rId13" Type="http://schemas.openxmlformats.org/officeDocument/2006/relationships/hyperlink" Target="file:///C:\Users\&#1052;&#1077;&#1090;&#1086;&#1076;\Downloads\&#1054;&#1090;&#1095;&#1077;&#1090;.doc" TargetMode="External"/><Relationship Id="rId18" Type="http://schemas.openxmlformats.org/officeDocument/2006/relationships/hyperlink" Target="file:///C:\Users\&#1052;&#1077;&#1090;&#1086;&#1076;\Downloads\&#1054;&#1090;&#1095;&#1077;&#1090;.doc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file:///C:\Users\&#1052;&#1077;&#1090;&#1086;&#1076;\Downloads\&#1054;&#1090;&#1095;&#1077;&#1090;.doc" TargetMode="External"/><Relationship Id="rId7" Type="http://schemas.openxmlformats.org/officeDocument/2006/relationships/hyperlink" Target="file:///C:\Users\&#1052;&#1077;&#1090;&#1086;&#1076;\Downloads\&#1054;&#1090;&#1095;&#1077;&#1090;.doc" TargetMode="External"/><Relationship Id="rId12" Type="http://schemas.openxmlformats.org/officeDocument/2006/relationships/hyperlink" Target="file:///C:\Users\&#1052;&#1077;&#1090;&#1086;&#1076;\Downloads\&#1054;&#1090;&#1095;&#1077;&#1090;.doc" TargetMode="External"/><Relationship Id="rId17" Type="http://schemas.openxmlformats.org/officeDocument/2006/relationships/hyperlink" Target="file:///C:\Users\&#1052;&#1077;&#1090;&#1086;&#1076;\Downloads\&#1054;&#1090;&#1095;&#1077;&#1090;.do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&#1052;&#1077;&#1090;&#1086;&#1076;\Downloads\&#1054;&#1090;&#1095;&#1077;&#1090;.doc" TargetMode="External"/><Relationship Id="rId20" Type="http://schemas.openxmlformats.org/officeDocument/2006/relationships/hyperlink" Target="file:///C:\Users\&#1052;&#1077;&#1090;&#1086;&#1076;\Downloads\&#1054;&#1090;&#1095;&#1077;&#1090;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2;&#1077;&#1090;&#1086;&#1076;\Downloads\&#1054;&#1090;&#1095;&#1077;&#1090;.doc" TargetMode="External"/><Relationship Id="rId24" Type="http://schemas.openxmlformats.org/officeDocument/2006/relationships/hyperlink" Target="http://www.psychoanalysis.p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2;&#1077;&#1090;&#1086;&#1076;\Downloads\&#1054;&#1090;&#1095;&#1077;&#1090;.doc" TargetMode="External"/><Relationship Id="rId23" Type="http://schemas.openxmlformats.org/officeDocument/2006/relationships/chart" Target="charts/chart1.xml"/><Relationship Id="rId28" Type="http://schemas.openxmlformats.org/officeDocument/2006/relationships/footer" Target="footer2.xml"/><Relationship Id="rId10" Type="http://schemas.openxmlformats.org/officeDocument/2006/relationships/hyperlink" Target="file:///C:\Users\&#1052;&#1077;&#1090;&#1086;&#1076;\Downloads\&#1054;&#1090;&#1095;&#1077;&#1090;.doc" TargetMode="External"/><Relationship Id="rId19" Type="http://schemas.openxmlformats.org/officeDocument/2006/relationships/hyperlink" Target="file:///C:\Users\&#1052;&#1077;&#1090;&#1086;&#1076;\Downloads\&#1054;&#1090;&#1095;&#1077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2;&#1077;&#1090;&#1086;&#1076;\Downloads\&#1054;&#1090;&#1095;&#1077;&#1090;.doc" TargetMode="External"/><Relationship Id="rId14" Type="http://schemas.openxmlformats.org/officeDocument/2006/relationships/hyperlink" Target="file:///C:\Users\&#1052;&#1077;&#1090;&#1086;&#1076;\Downloads\&#1054;&#1090;&#1095;&#1077;&#1090;.doc" TargetMode="External"/><Relationship Id="rId22" Type="http://schemas.openxmlformats.org/officeDocument/2006/relationships/hyperlink" Target="file:///C:\Users\&#1052;&#1077;&#1090;&#1086;&#1076;\Downloads\&#1054;&#1090;&#1095;&#1077;&#1090;.doc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Лист3!$D$10</c:f>
              <c:strCache>
                <c:ptCount val="1"/>
                <c:pt idx="0">
                  <c:v>Структура депозитов в зависимости от размера вклада,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Лист3!$E$11:$E$15</c:f>
              <c:strCache>
                <c:ptCount val="5"/>
                <c:pt idx="0">
                  <c:v>до 100 тыс. руб.</c:v>
                </c:pt>
                <c:pt idx="1">
                  <c:v>от 100 до 400 тыс. руб.</c:v>
                </c:pt>
                <c:pt idx="2">
                  <c:v>от 400 до 500 тыс. руб.</c:v>
                </c:pt>
                <c:pt idx="3">
                  <c:v>от 500 до 700 тыс. руб.</c:v>
                </c:pt>
                <c:pt idx="4">
                  <c:v>свыше 700 тыс .руб.</c:v>
                </c:pt>
              </c:strCache>
            </c:strRef>
          </c:cat>
          <c:val>
            <c:numRef>
              <c:f>Лист3!$D$11:$D$15</c:f>
              <c:numCache>
                <c:formatCode>General</c:formatCode>
                <c:ptCount val="5"/>
                <c:pt idx="0">
                  <c:v>25.3</c:v>
                </c:pt>
                <c:pt idx="1">
                  <c:v>29.5</c:v>
                </c:pt>
                <c:pt idx="2">
                  <c:v>3.9</c:v>
                </c:pt>
                <c:pt idx="3">
                  <c:v>4.7</c:v>
                </c:pt>
                <c:pt idx="4">
                  <c:v>36.6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B2-4A12-950A-89679FD42F9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Ольга Викторовна</dc:creator>
  <cp:keywords/>
  <dc:description/>
  <cp:lastModifiedBy>Зинченко Ольга Викторовна</cp:lastModifiedBy>
  <cp:revision>14</cp:revision>
  <dcterms:created xsi:type="dcterms:W3CDTF">2022-05-23T13:14:00Z</dcterms:created>
  <dcterms:modified xsi:type="dcterms:W3CDTF">2024-05-23T10:14:00Z</dcterms:modified>
</cp:coreProperties>
</file>